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</w:instrText>
      </w:r>
      <w:r>
        <w:rPr>
          <w:rFonts w:ascii="Times New Roman" w:hAnsi="Times New Roman" w:eastAsia="宋体"/>
          <w:b w:val="0"/>
        </w:rPr>
        <w:instrText xml:space="preserve">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桩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桩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桩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桩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54152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