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202313101K8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家</w:t>
      </w:r>
      <w:r>
        <w:rPr>
          <w:rFonts w:ascii="Times New Roman" w:hAnsi="Times New Roman" w:eastAsia="宋体"/>
          <w:b w:val="0"/>
        </w:rPr>
        <w:t>口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—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990599" cy="83515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599" cy="8351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微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