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4880" cy="4815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481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5760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57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