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05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05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751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7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598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