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4795" cy="655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4795" cy="655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