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</w:instrText>
      </w:r>
      <w:r>
        <w:rPr>
          <w:rFonts w:ascii="Times New Roman" w:hAnsi="Times New Roman" w:eastAsia="宋体"/>
          <w:b w:val="0"/>
        </w:rPr>
        <w:instrText xml:space="preserve">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肿</w:t>
      </w:r>
      <w:r>
        <w:rPr>
          <w:rFonts w:ascii="Times New Roman" w:hAnsi="Times New Roman" w:eastAsia="宋体"/>
          <w:b w:val="0"/>
        </w:rPr>
        <w:t>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治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轰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肿</w:t>
      </w:r>
      <w:r>
        <w:rPr>
          <w:rFonts w:ascii="Times New Roman" w:hAnsi="Times New Roman" w:eastAsia="宋体"/>
          <w:b w:val="0"/>
        </w:rPr>
        <w:t>瘤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杀</w:t>
      </w:r>
      <w:r>
        <w:rPr>
          <w:rFonts w:ascii="Times New Roman" w:hAnsi="Times New Roman" w:eastAsia="宋体"/>
          <w:b w:val="0"/>
        </w:rPr>
        <w:t>死</w:t>
      </w:r>
      <w:r>
        <w:rPr>
          <w:rFonts w:ascii="Times New Roman" w:hAnsi="Times New Roman" w:eastAsia="宋体"/>
          <w:b w:val="0"/>
        </w:rPr>
        <w:t>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963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I,eS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I,eS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m,eU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I,eS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I,eS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