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</w:instrText>
      </w:r>
      <w:r>
        <w:rPr>
          <w:rFonts w:ascii="Times New Roman" w:hAnsi="Times New Roman" w:eastAsia="宋体"/>
          <w:b w:val="0"/>
        </w:rPr>
        <w:instrText xml:space="preserve">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1664" cy="794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794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