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20231311Z7L4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</w:instrText>
      </w:r>
      <w:r>
        <w:rPr>
          <w:rFonts w:ascii="Times New Roman" w:hAnsi="Times New Roman" w:eastAsia="宋体"/>
          <w:b w:val="0"/>
        </w:rPr>
        <w:instrText xml:space="preserve">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0561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056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18897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1889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