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品</w:t>
      </w:r>
      <w:r>
        <w:rPr>
          <w:rFonts w:ascii="Times New Roman" w:hAnsi="Times New Roman" w:eastAsia="宋体"/>
          <w:b w:val="0"/>
        </w:rPr>
        <w:t>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4336" cy="10347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4336" cy="1034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