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2023131221KK6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刀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刀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4795" cy="8061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4795" cy="806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