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2023131232KL2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"H:\\2023 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\\4</w:instrText>
      </w:r>
      <w:r>
        <w:rPr>
          <w:rFonts w:ascii="Times New Roman" w:hAnsi="Times New Roman" w:eastAsia="宋体"/>
          <w:b w:val="0"/>
        </w:rPr>
        <w:instrText xml:space="preserve">高一下</w:instrText>
      </w:r>
      <w:r>
        <w:rPr>
          <w:rFonts w:ascii="Times New Roman" w:hAnsi="Times New Roman" w:eastAsia="宋体"/>
          <w:b w:val="0"/>
        </w:rPr>
        <w:instrText xml:space="preserve">\\2024</w:instrText>
      </w:r>
      <w:r>
        <w:rPr>
          <w:rFonts w:ascii="Times New Roman" w:hAnsi="Times New Roman" w:eastAsia="宋体"/>
          <w:b w:val="0"/>
        </w:rPr>
        <w:instrText xml:space="preserve">春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必修第三册（津鲁琼云晋皖黑吉桂贵粤辽渝鄂冀湘甘赣豫新青藏宁蒙陕）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"H:\\2023 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\\4</w:instrText>
      </w:r>
      <w:r>
        <w:rPr>
          <w:rFonts w:ascii="Times New Roman" w:hAnsi="Times New Roman" w:eastAsia="宋体"/>
          <w:b w:val="0"/>
        </w:rPr>
        <w:instrText xml:space="preserve">高一下</w:instrText>
      </w:r>
      <w:r>
        <w:rPr>
          <w:rFonts w:ascii="Times New Roman" w:hAnsi="Times New Roman" w:eastAsia="宋体"/>
          <w:b w:val="0"/>
        </w:rPr>
        <w:instrText xml:space="preserve">\\2024</w:instrText>
      </w:r>
      <w:r>
        <w:rPr>
          <w:rFonts w:ascii="Times New Roman" w:hAnsi="Times New Roman" w:eastAsia="宋体"/>
          <w:b w:val="0"/>
        </w:rPr>
        <w:instrText xml:space="preserve">春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必修第三册（津鲁琼云晋皖黑吉桂贵粤辽渝鄂冀湘甘赣豫新青藏宁蒙陕）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</w:instrText>
      </w:r>
      <w:r>
        <w:rPr>
          <w:rFonts w:ascii="Times New Roman" w:hAnsi="Times New Roman" w:eastAsia="宋体"/>
          <w:b w:val="0"/>
        </w:rPr>
        <w:instrText xml:space="preserve">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巍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彝</w:t>
      </w:r>
      <w:r>
        <w:rPr>
          <w:rFonts w:ascii="Times New Roman" w:hAnsi="Times New Roman" w:eastAsia="宋体"/>
          <w:b w:val="0"/>
        </w:rPr>
        <w:t>族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族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治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干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47544" cy="10073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544" cy="10073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精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