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20231312Z8K3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1560" cy="7513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7513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