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丘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3772" cy="1065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772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