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烈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氧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43456" cy="562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562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37360" cy="5806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80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