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</w:instrText>
      </w:r>
      <w:r>
        <w:rPr>
          <w:rFonts w:ascii="Times New Roman" w:hAnsi="Times New Roman" w:eastAsia="宋体"/>
          <w:b w:val="0"/>
        </w:rPr>
        <w:instrText xml:space="preserve">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巴</w:t>
      </w:r>
      <w:r>
        <w:rPr>
          <w:rFonts w:ascii="Times New Roman" w:hAnsi="Times New Roman" w:eastAsia="宋体"/>
          <w:b w:val="0"/>
        </w:rPr>
        <w:t>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