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12264" cy="713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713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12264" cy="7452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