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OM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ON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3416" cy="656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656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