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亭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9464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464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9753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75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7848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7848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