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龙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8122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8122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毫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