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5984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3040" cy="911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