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20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20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180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迟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2.125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99.8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迟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巧</w:t>
      </w:r>
      <w:r>
        <w:rPr>
          <w:rFonts w:ascii="Times New Roman" w:hAnsi="Times New Roman" w:eastAsia="宋体"/>
          <w:b w:val="0"/>
        </w:rPr>
        <w:t>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