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7420" cy="496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96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7420" cy="6888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88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93620" cy="9768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976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498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