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障</w:t>
      </w:r>
      <w:r>
        <w:rPr>
          <w:rFonts w:ascii="Times New Roman" w:hAnsi="Times New Roman" w:eastAsia="宋体"/>
          <w:b w:val="0"/>
        </w:rPr>
        <w:t>碍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继</w:t>
      </w:r>
      <w:r>
        <w:rPr>
          <w:rFonts w:ascii="Times New Roman" w:hAnsi="Times New Roman" w:eastAsia="宋体"/>
          <w:b w:val="0"/>
        </w:rPr>
        <w:t>续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2708" cy="10576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2708" cy="10576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各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迫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驱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决</w:t>
      </w:r>
      <w:r>
        <w:rPr>
          <w:rFonts w:ascii="Times New Roman" w:hAnsi="Times New Roman" w:eastAsia="宋体"/>
          <w:b w:val="0"/>
        </w:rPr>
        <w:t>定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源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狭</w:t>
      </w:r>
      <w:r>
        <w:rPr>
          <w:rFonts w:ascii="Times New Roman" w:hAnsi="Times New Roman" w:eastAsia="宋体"/>
          <w:b w:val="0"/>
        </w:rPr>
        <w:t>缝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侧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_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