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</w:instrText>
      </w:r>
      <w:r>
        <w:rPr>
          <w:rFonts w:ascii="Times New Roman" w:hAnsi="Times New Roman" w:eastAsia="宋体"/>
          <w:b w:val="0"/>
        </w:rPr>
        <w:instrText xml:space="preserve">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41804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804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41804" cy="7025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804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07336" cy="8427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