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逸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21308" cy="6080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1308" cy="608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