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20232144L1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</w:instrText>
      </w:r>
      <w:r>
        <w:rPr>
          <w:rFonts w:ascii="Times New Roman" w:hAnsi="Times New Roman" w:eastAsia="宋体"/>
          <w:b w:val="0"/>
        </w:rPr>
        <w:instrText xml:space="preserve">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岳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座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目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8702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8702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遮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筒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划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齐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a,n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滤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彩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目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08732" cy="5562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8732" cy="556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卡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684020" cy="66903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6690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母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40180" cy="75590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75590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