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</w:instrText>
      </w:r>
      <w:r>
        <w:rPr>
          <w:rFonts w:ascii="Times New Roman" w:hAnsi="Times New Roman" w:eastAsia="宋体"/>
          <w:b w:val="0"/>
        </w:rPr>
        <w:instrText xml:space="preserve">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亦</w:t>
      </w:r>
      <w:r>
        <w:rPr>
          <w:rFonts w:ascii="Times New Roman" w:hAnsi="Times New Roman" w:eastAsia="宋体"/>
          <w:b w:val="0"/>
        </w:rPr>
        <w:t>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马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杨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托</w:t>
      </w:r>
      <w:r>
        <w:rPr>
          <w:rFonts w:ascii="Times New Roman" w:hAnsi="Times New Roman" w:eastAsia="宋体"/>
          <w:b w:val="0"/>
        </w:rPr>
        <w:t>马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具</w:t>
      </w:r>
      <w:r>
        <w:rPr>
          <w:rFonts w:ascii="Times New Roman" w:hAnsi="Times New Roman" w:eastAsia="宋体"/>
          <w:b w:val="0"/>
        </w:rPr>
        <w:t>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遮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筒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毛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35580" cy="647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64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元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依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滤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片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未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操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35736" cy="92354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35736" cy="9235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轮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头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读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087880" cy="91287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9128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待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字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