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1176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117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22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2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