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2520" cy="10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0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