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25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27988" cy="10424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042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9814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98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