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911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911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9235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