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雅</w:t>
      </w:r>
      <w:r>
        <w:rPr>
          <w:rFonts w:ascii="Times New Roman" w:hAnsi="Times New Roman" w:eastAsia="宋体"/>
          <w:b w:val="0"/>
        </w:rPr>
        <w:t>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