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坪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铺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37360" cy="9281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928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恢</w:t>
      </w:r>
      <w:r>
        <w:rPr>
          <w:rFonts w:ascii="Times New Roman" w:hAnsi="Times New Roman" w:eastAsia="宋体"/>
          <w:b w:val="0"/>
        </w:rPr>
        <w:t>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磁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难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