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9536" cy="679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679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