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揭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5360" cy="6949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