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唐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倍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半</w:t>
      </w:r>
      <w:r>
        <w:rPr>
          <w:rFonts w:ascii="Times New Roman" w:hAnsi="Times New Roman" w:eastAsia="宋体"/>
          <w:b w:val="0"/>
          <w:sz w:val="23"/>
        </w:rPr>
        <w:t>径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氚</w:t>
      </w:r>
      <w:r>
        <w:rPr>
          <w:rFonts w:ascii="Times New Roman" w:hAnsi="Times New Roman" w:eastAsia="宋体"/>
          <w:b w:val="0"/>
          <w:sz w:val="23"/>
        </w:rPr>
        <w:t>核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周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