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河</w:t>
      </w:r>
      <w:r>
        <w:rPr>
          <w:rFonts w:ascii="Times New Roman" w:hAnsi="Times New Roman" w:eastAsia="宋体"/>
          <w:b w:val="0"/>
          <w:sz w:val="23"/>
        </w:rPr>
        <w:t>南</w:t>
      </w:r>
      <w:r>
        <w:rPr>
          <w:rFonts w:ascii="Times New Roman" w:hAnsi="Times New Roman" w:eastAsia="宋体"/>
          <w:b w:val="0"/>
          <w:sz w:val="23"/>
        </w:rPr>
        <w:t>省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+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93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9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