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92324" cy="1216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324" cy="1216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