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庆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九</w:t>
      </w:r>
      <w:r>
        <w:rPr>
          <w:rFonts w:ascii="Times New Roman" w:hAnsi="Times New Roman" w:eastAsia="宋体"/>
          <w:b w:val="0"/>
          <w:sz w:val="23"/>
        </w:rPr>
        <w:t>龙</w:t>
      </w:r>
      <w:r>
        <w:rPr>
          <w:rFonts w:ascii="Times New Roman" w:hAnsi="Times New Roman" w:eastAsia="宋体"/>
          <w:b w:val="0"/>
          <w:sz w:val="23"/>
        </w:rPr>
        <w:t>坡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悬</w:t>
      </w:r>
      <w:r>
        <w:rPr>
          <w:rFonts w:ascii="Times New Roman" w:hAnsi="Times New Roman" w:eastAsia="宋体"/>
          <w:b w:val="0"/>
          <w:sz w:val="23"/>
        </w:rPr>
        <w:t>挂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轮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细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7092" cy="608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092" cy="608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