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77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77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σab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w:rPr>
                    <w:rFonts w:ascii="Times New Roman" w:eastAsia="宋体"/>
                  </w:rPr>
                  <m:t>σab</m:t>
                </m:r>
              </m:den>
            </m:f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σ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w:rPr>
                    <w:rFonts w:ascii="Times New Roman" w:eastAsia="宋体"/>
                  </w:rPr>
                  <m:t>ab</m:t>
                </m:r>
              </m:den>
            </m:f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