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淀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元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泛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领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厚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品</w:t>
      </w:r>
      <w:r>
        <w:rPr>
          <w:rFonts w:ascii="Times New Roman" w:hAnsi="Times New Roman" w:eastAsia="宋体"/>
          <w:b w:val="0"/>
          <w:sz w:val="23"/>
        </w:rPr>
        <w:t>薄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薄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建</w:t>
      </w:r>
      <w:r>
        <w:rPr>
          <w:rFonts w:ascii="Times New Roman" w:hAnsi="Times New Roman" w:eastAsia="宋体"/>
          <w:b w:val="0"/>
          <w:sz w:val="23"/>
        </w:rPr>
        <w:t>立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元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灵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灵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—</w:t>
      </w:r>
      <w:r>
        <w:rPr>
          <w:rFonts w:ascii="Times New Roman" w:hAnsi="Times New Roman" w:eastAsia="宋体"/>
          <w:b w:val="0"/>
          <w:sz w:val="23"/>
        </w:rPr>
        <w:t>—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穴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穴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每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薄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3060" cy="1124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124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ne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H</m:t>
                </m:r>
              </m:sub>
            </m:sSub>
          </m:num>
          <m:den>
            <m:r>
              <w:rPr>
                <w:rFonts w:ascii="Times New Roman" w:eastAsia="宋体"/>
              </w:rPr>
              <m:t>Ic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薄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厚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元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灵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元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灵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