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城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∠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9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着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弧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段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偏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867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867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Bd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d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v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