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9076" cy="1152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076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