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约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8700" cy="644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44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qs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qs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qs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qs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