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2023221Z5K3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济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棱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维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i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z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z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z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005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005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ad>
                  <m:radPr>
                    <m:degHide m:val="1"/>
                  </m:radPr>
                  <m:e/>
                </m:rad>
              </m:num>
              <m:den>
                <m:r>
                  <m:rPr>
                    <m:sty m:val="p"/>
                  </m:rPr>
                  <w:rPr>
                    <w:rFonts w:ascii="Times New Roman" w:eastAsia="宋体"/>
                  </w:rPr>
                  <m:t>6</m:t>
                </m:r>
              </m:den>
            </m:f>
          </m:e>
        </m:rad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