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创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67612" cy="947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612" cy="947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