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建</w:t>
      </w:r>
      <w:r>
        <w:rPr>
          <w:rFonts w:ascii="Times New Roman" w:hAnsi="Times New Roman" w:eastAsia="宋体"/>
          <w:b w:val="0"/>
          <w:sz w:val="23"/>
        </w:rPr>
        <w:t>立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范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节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&gt;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7176" cy="754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754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夹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0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4316" cy="9342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4316" cy="934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qE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qE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撤</w:t>
      </w:r>
      <w:r>
        <w:rPr>
          <w:rFonts w:ascii="Times New Roman" w:hAnsi="Times New Roman" w:eastAsia="宋体"/>
          <w:b w:val="0"/>
          <w:sz w:val="23"/>
        </w:rPr>
        <w:t>去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…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依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