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束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全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在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研</w:t>
      </w:r>
      <w:r>
        <w:rPr>
          <w:rFonts w:ascii="Times New Roman" w:hAnsi="Times New Roman" w:eastAsia="宋体"/>
          <w:b w:val="0"/>
          <w:sz w:val="23"/>
        </w:rPr>
        <w:t>究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般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割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许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很</w:t>
      </w:r>
      <w:r>
        <w:rPr>
          <w:rFonts w:ascii="Times New Roman" w:hAnsi="Times New Roman" w:eastAsia="宋体"/>
          <w:b w:val="0"/>
          <w:sz w:val="23"/>
        </w:rPr>
        <w:t>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每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采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析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9764" cy="580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764" cy="580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至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qB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