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蚌</w:t>
      </w:r>
      <w:r>
        <w:rPr>
          <w:rFonts w:ascii="Times New Roman" w:hAnsi="Times New Roman" w:eastAsia="宋体"/>
          <w:b w:val="0"/>
        </w:rPr>
        <w:t>埠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41348" cy="1542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348" cy="1542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