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8004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04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0116" cy="1348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0116" cy="13487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